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60" w:rsidRPr="00C014AC" w:rsidRDefault="00086C60" w:rsidP="00233701">
      <w:pPr>
        <w:pStyle w:val="a5"/>
      </w:pPr>
      <w:bookmarkStart w:id="0" w:name="_GoBack"/>
      <w:bookmarkEnd w:id="0"/>
      <w:r w:rsidRPr="00C014AC">
        <w:t>新温泉町脱炭素</w:t>
      </w:r>
      <w:r w:rsidRPr="00C014AC">
        <w:rPr>
          <w:rFonts w:hint="eastAsia"/>
        </w:rPr>
        <w:t>推進</w:t>
      </w:r>
      <w:r w:rsidRPr="00C014AC">
        <w:t>パートナー事業者選定</w:t>
      </w:r>
    </w:p>
    <w:p w:rsidR="00086C60" w:rsidRPr="00C014AC" w:rsidRDefault="00086C60" w:rsidP="00336B2A">
      <w:pPr>
        <w:snapToGrid w:val="0"/>
        <w:spacing w:line="360" w:lineRule="auto"/>
        <w:jc w:val="center"/>
        <w:rPr>
          <w:rFonts w:asciiTheme="minorEastAsia" w:hAnsiTheme="minorEastAsia"/>
          <w:sz w:val="22"/>
        </w:rPr>
      </w:pPr>
      <w:r w:rsidRPr="00C014AC">
        <w:rPr>
          <w:rFonts w:asciiTheme="minorEastAsia" w:hAnsiTheme="minorEastAsia"/>
          <w:sz w:val="22"/>
        </w:rPr>
        <w:t>公募型プロポーザル審査要領</w:t>
      </w:r>
    </w:p>
    <w:p w:rsidR="00086C60" w:rsidRPr="00C014AC" w:rsidRDefault="00086C60" w:rsidP="00336B2A">
      <w:pPr>
        <w:snapToGrid w:val="0"/>
        <w:spacing w:line="360" w:lineRule="auto"/>
        <w:jc w:val="left"/>
        <w:rPr>
          <w:rFonts w:asciiTheme="minorEastAsia" w:hAnsiTheme="minorEastAsia"/>
          <w:sz w:val="22"/>
        </w:rPr>
      </w:pPr>
    </w:p>
    <w:p w:rsidR="00086C60" w:rsidRPr="00C014AC" w:rsidRDefault="00C014AC" w:rsidP="00336B2A">
      <w:pPr>
        <w:snapToGrid w:val="0"/>
        <w:spacing w:line="36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086C60" w:rsidRPr="00C014AC">
        <w:rPr>
          <w:rFonts w:asciiTheme="minorEastAsia" w:hAnsiTheme="minorEastAsia"/>
          <w:sz w:val="22"/>
        </w:rPr>
        <w:t>審査対象者</w:t>
      </w:r>
      <w:r>
        <w:rPr>
          <w:rFonts w:asciiTheme="minorEastAsia" w:hAnsiTheme="minorEastAsia"/>
          <w:sz w:val="22"/>
        </w:rPr>
        <w:t xml:space="preserve">　</w:t>
      </w:r>
    </w:p>
    <w:p w:rsidR="00086C60" w:rsidRPr="00C014AC" w:rsidRDefault="00086C60" w:rsidP="00336B2A">
      <w:pPr>
        <w:snapToGrid w:val="0"/>
        <w:spacing w:line="360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C014AC">
        <w:rPr>
          <w:rFonts w:asciiTheme="minorEastAsia" w:hAnsiTheme="minorEastAsia"/>
          <w:sz w:val="22"/>
        </w:rPr>
        <w:t>審査の対象となる者は、プロポーザル参加資格を認められた者のうち指定期日までに</w:t>
      </w:r>
      <w:r w:rsidRPr="00C014AC">
        <w:rPr>
          <w:rFonts w:asciiTheme="minorEastAsia" w:hAnsiTheme="minorEastAsia" w:hint="eastAsia"/>
          <w:sz w:val="22"/>
        </w:rPr>
        <w:t>企画</w:t>
      </w:r>
      <w:r w:rsidRPr="00C014AC">
        <w:rPr>
          <w:rFonts w:asciiTheme="minorEastAsia" w:hAnsiTheme="minorEastAsia"/>
          <w:sz w:val="22"/>
        </w:rPr>
        <w:t>提案書等の提出をした者に限る。なお、</w:t>
      </w:r>
      <w:r w:rsidR="00D17EEF">
        <w:rPr>
          <w:rFonts w:asciiTheme="minorEastAsia" w:hAnsiTheme="minorEastAsia" w:hint="eastAsia"/>
          <w:sz w:val="22"/>
        </w:rPr>
        <w:t>参加事業</w:t>
      </w:r>
      <w:r w:rsidRPr="00C014AC">
        <w:rPr>
          <w:rFonts w:asciiTheme="minorEastAsia" w:hAnsiTheme="minorEastAsia"/>
          <w:sz w:val="22"/>
        </w:rPr>
        <w:t>者が１者の場合でも審査は実施する。</w:t>
      </w:r>
      <w:r w:rsidR="00D17EEF">
        <w:rPr>
          <w:rFonts w:asciiTheme="minorEastAsia" w:hAnsiTheme="minorEastAsia" w:hint="eastAsia"/>
          <w:sz w:val="22"/>
        </w:rPr>
        <w:t>参加事業者が多数の場合には、審査要領で定めた基準に基づき１次審査を事務局で行い、その評価の高い４事業者を２次審査の対象とし、選定委員会で審査を実施する。</w:t>
      </w:r>
    </w:p>
    <w:p w:rsidR="00086C60" w:rsidRPr="00C014AC" w:rsidRDefault="00086C60" w:rsidP="00336B2A">
      <w:pPr>
        <w:snapToGrid w:val="0"/>
        <w:spacing w:line="360" w:lineRule="auto"/>
        <w:jc w:val="left"/>
        <w:rPr>
          <w:rFonts w:asciiTheme="minorEastAsia" w:hAnsiTheme="minorEastAsia"/>
          <w:sz w:val="22"/>
        </w:rPr>
      </w:pPr>
    </w:p>
    <w:p w:rsidR="00086C60" w:rsidRPr="00C014AC" w:rsidRDefault="00086C60" w:rsidP="00336B2A">
      <w:pPr>
        <w:snapToGrid w:val="0"/>
        <w:spacing w:line="360" w:lineRule="auto"/>
        <w:jc w:val="left"/>
        <w:rPr>
          <w:rFonts w:asciiTheme="minorEastAsia" w:hAnsiTheme="minorEastAsia"/>
          <w:sz w:val="22"/>
        </w:rPr>
      </w:pPr>
      <w:r w:rsidRPr="00C014AC">
        <w:rPr>
          <w:rFonts w:asciiTheme="minorEastAsia" w:hAnsiTheme="minorEastAsia"/>
          <w:sz w:val="22"/>
        </w:rPr>
        <w:t>２</w:t>
      </w:r>
      <w:r w:rsidR="00C014AC">
        <w:rPr>
          <w:rFonts w:asciiTheme="minorEastAsia" w:hAnsiTheme="minorEastAsia" w:hint="eastAsia"/>
          <w:sz w:val="22"/>
        </w:rPr>
        <w:t xml:space="preserve">　</w:t>
      </w:r>
      <w:r w:rsidRPr="00C014AC">
        <w:rPr>
          <w:rFonts w:asciiTheme="minorEastAsia" w:hAnsiTheme="minorEastAsia"/>
          <w:sz w:val="22"/>
        </w:rPr>
        <w:t>審査方法</w:t>
      </w:r>
    </w:p>
    <w:p w:rsidR="008E675B" w:rsidRPr="008E675B" w:rsidRDefault="008E675B" w:rsidP="008E675B">
      <w:pPr>
        <w:snapToGrid w:val="0"/>
        <w:spacing w:line="360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8E675B">
        <w:rPr>
          <w:rFonts w:asciiTheme="minorEastAsia" w:hAnsiTheme="minorEastAsia" w:hint="eastAsia"/>
          <w:sz w:val="22"/>
        </w:rPr>
        <w:t>提出された資料、プレゼンテーションを踏まえて、「実績資料」、「業務提案資料」、「業務実施体制資料」を「審査要領」による評価を行う。</w:t>
      </w:r>
    </w:p>
    <w:p w:rsidR="00086C60" w:rsidRPr="008E675B" w:rsidRDefault="00086C60" w:rsidP="00336B2A">
      <w:pPr>
        <w:snapToGrid w:val="0"/>
        <w:spacing w:line="360" w:lineRule="auto"/>
        <w:jc w:val="left"/>
        <w:rPr>
          <w:rFonts w:asciiTheme="minorEastAsia" w:hAnsiTheme="minorEastAsia"/>
          <w:sz w:val="22"/>
        </w:rPr>
      </w:pPr>
    </w:p>
    <w:p w:rsidR="00086C60" w:rsidRPr="00C014AC" w:rsidRDefault="00086C60" w:rsidP="00336B2A">
      <w:pPr>
        <w:snapToGrid w:val="0"/>
        <w:spacing w:line="360" w:lineRule="auto"/>
        <w:jc w:val="left"/>
        <w:rPr>
          <w:rFonts w:asciiTheme="minorEastAsia" w:hAnsiTheme="minorEastAsia"/>
          <w:sz w:val="22"/>
        </w:rPr>
      </w:pPr>
      <w:r w:rsidRPr="00C014AC">
        <w:rPr>
          <w:rFonts w:asciiTheme="minorEastAsia" w:hAnsiTheme="minorEastAsia"/>
          <w:sz w:val="22"/>
        </w:rPr>
        <w:t>３</w:t>
      </w:r>
      <w:r w:rsidR="00C014AC">
        <w:rPr>
          <w:rFonts w:asciiTheme="minorEastAsia" w:hAnsiTheme="minorEastAsia" w:hint="eastAsia"/>
          <w:sz w:val="22"/>
        </w:rPr>
        <w:t xml:space="preserve">　</w:t>
      </w:r>
      <w:r w:rsidRPr="00C014AC">
        <w:rPr>
          <w:rFonts w:asciiTheme="minorEastAsia" w:hAnsiTheme="minorEastAsia"/>
          <w:sz w:val="22"/>
        </w:rPr>
        <w:t>プレゼンテーションの実施</w:t>
      </w:r>
      <w:r w:rsidR="00C014AC">
        <w:rPr>
          <w:rFonts w:asciiTheme="minorEastAsia" w:hAnsiTheme="minorEastAsia"/>
          <w:sz w:val="22"/>
        </w:rPr>
        <w:t xml:space="preserve">　</w:t>
      </w:r>
    </w:p>
    <w:p w:rsidR="00086C60" w:rsidRPr="00C014AC" w:rsidRDefault="00086C60" w:rsidP="00336B2A">
      <w:pPr>
        <w:snapToGrid w:val="0"/>
        <w:spacing w:line="360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C014AC">
        <w:rPr>
          <w:rFonts w:asciiTheme="minorEastAsia" w:hAnsiTheme="minorEastAsia"/>
          <w:sz w:val="22"/>
        </w:rPr>
        <w:t>プロポーザルに係るプレゼンテーションの実施については以下のとおりとする。</w:t>
      </w:r>
    </w:p>
    <w:p w:rsidR="00086C60" w:rsidRPr="00C014AC" w:rsidRDefault="00C014AC" w:rsidP="00336B2A">
      <w:pPr>
        <w:snapToGrid w:val="0"/>
        <w:spacing w:line="360" w:lineRule="auto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086C60" w:rsidRPr="00C014AC">
        <w:rPr>
          <w:rFonts w:asciiTheme="minorEastAsia" w:hAnsiTheme="minorEastAsia"/>
          <w:sz w:val="22"/>
        </w:rPr>
        <w:t>実施日程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７</w:t>
      </w:r>
      <w:r w:rsidR="00086C60" w:rsidRPr="00C014AC">
        <w:rPr>
          <w:rFonts w:asciiTheme="minorEastAsia" w:hAnsiTheme="minor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１１</w:t>
      </w:r>
      <w:r>
        <w:rPr>
          <w:rFonts w:asciiTheme="minorEastAsia" w:hAnsiTheme="minorEastAsia"/>
          <w:sz w:val="22"/>
        </w:rPr>
        <w:t>日（</w:t>
      </w:r>
      <w:r>
        <w:rPr>
          <w:rFonts w:asciiTheme="minorEastAsia" w:hAnsiTheme="minorEastAsia" w:hint="eastAsia"/>
          <w:sz w:val="22"/>
        </w:rPr>
        <w:t>火</w:t>
      </w:r>
      <w:r w:rsidR="00086C60" w:rsidRPr="00C014AC">
        <w:rPr>
          <w:rFonts w:asciiTheme="minorEastAsia" w:hAnsiTheme="minorEastAsia"/>
          <w:sz w:val="22"/>
        </w:rPr>
        <w:t>）予定</w:t>
      </w:r>
    </w:p>
    <w:p w:rsidR="00C014AC" w:rsidRDefault="00C014AC" w:rsidP="00336B2A">
      <w:pPr>
        <w:snapToGrid w:val="0"/>
        <w:spacing w:line="360" w:lineRule="auto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086C60" w:rsidRPr="00C014AC">
        <w:rPr>
          <w:rFonts w:asciiTheme="minorEastAsia" w:hAnsiTheme="minorEastAsia"/>
          <w:sz w:val="22"/>
        </w:rPr>
        <w:t>実施時間</w:t>
      </w:r>
      <w:r>
        <w:rPr>
          <w:rFonts w:asciiTheme="minorEastAsia" w:hAnsiTheme="minorEastAsia" w:hint="eastAsia"/>
          <w:sz w:val="22"/>
        </w:rPr>
        <w:t xml:space="preserve">　</w:t>
      </w:r>
      <w:r w:rsidR="00086C60" w:rsidRPr="00C014AC">
        <w:rPr>
          <w:rFonts w:asciiTheme="minorEastAsia" w:hAnsiTheme="minorEastAsia"/>
          <w:sz w:val="22"/>
        </w:rPr>
        <w:t>プレゼンテーションの時間は１者当たり</w:t>
      </w:r>
      <w:r>
        <w:rPr>
          <w:rFonts w:asciiTheme="minorEastAsia" w:hAnsiTheme="minorEastAsia" w:hint="eastAsia"/>
          <w:sz w:val="22"/>
        </w:rPr>
        <w:t>２０</w:t>
      </w:r>
      <w:r w:rsidR="00086C60" w:rsidRPr="00C014AC">
        <w:rPr>
          <w:rFonts w:asciiTheme="minorEastAsia" w:hAnsiTheme="minorEastAsia"/>
          <w:sz w:val="22"/>
        </w:rPr>
        <w:t>分以内、質疑応答の時間は</w:t>
      </w:r>
      <w:r>
        <w:rPr>
          <w:rFonts w:asciiTheme="minorEastAsia" w:hAnsiTheme="minorEastAsia" w:hint="eastAsia"/>
          <w:sz w:val="22"/>
        </w:rPr>
        <w:t>１５</w:t>
      </w:r>
      <w:r w:rsidR="00086C60" w:rsidRPr="00C014AC">
        <w:rPr>
          <w:rFonts w:asciiTheme="minorEastAsia" w:hAnsiTheme="minorEastAsia"/>
          <w:sz w:val="22"/>
        </w:rPr>
        <w:t>分</w:t>
      </w:r>
    </w:p>
    <w:p w:rsidR="00086C60" w:rsidRPr="00C014AC" w:rsidRDefault="00086C60" w:rsidP="00336B2A">
      <w:pPr>
        <w:snapToGrid w:val="0"/>
        <w:spacing w:line="360" w:lineRule="auto"/>
        <w:ind w:firstLineChars="900" w:firstLine="1980"/>
        <w:jc w:val="left"/>
        <w:rPr>
          <w:rFonts w:asciiTheme="minorEastAsia" w:hAnsiTheme="minorEastAsia"/>
          <w:sz w:val="22"/>
        </w:rPr>
      </w:pPr>
      <w:r w:rsidRPr="00C014AC">
        <w:rPr>
          <w:rFonts w:asciiTheme="minorEastAsia" w:hAnsiTheme="minorEastAsia"/>
          <w:sz w:val="22"/>
        </w:rPr>
        <w:t>以内とする。</w:t>
      </w:r>
    </w:p>
    <w:p w:rsidR="0019030B" w:rsidRDefault="0019030B" w:rsidP="0019030B">
      <w:pPr>
        <w:snapToGrid w:val="0"/>
        <w:spacing w:line="360" w:lineRule="auto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Pr="00C014AC">
        <w:rPr>
          <w:rFonts w:asciiTheme="minorEastAsia" w:hAnsiTheme="minorEastAsia"/>
          <w:sz w:val="22"/>
        </w:rPr>
        <w:t>実施会場</w:t>
      </w:r>
      <w:r>
        <w:rPr>
          <w:rFonts w:asciiTheme="minorEastAsia" w:hAnsiTheme="minorEastAsia" w:hint="eastAsia"/>
          <w:sz w:val="22"/>
        </w:rPr>
        <w:t xml:space="preserve">　</w:t>
      </w:r>
      <w:r w:rsidRPr="00C014AC">
        <w:rPr>
          <w:rFonts w:asciiTheme="minorEastAsia" w:hAnsiTheme="minorEastAsia"/>
          <w:sz w:val="22"/>
        </w:rPr>
        <w:t>プレゼンテーションは、オンライン</w:t>
      </w:r>
      <w:r w:rsidR="00C523FD">
        <w:rPr>
          <w:rFonts w:asciiTheme="minorEastAsia" w:hAnsiTheme="minorEastAsia" w:hint="eastAsia"/>
          <w:sz w:val="22"/>
        </w:rPr>
        <w:t>又</w:t>
      </w:r>
      <w:r>
        <w:rPr>
          <w:rFonts w:asciiTheme="minorEastAsia" w:hAnsiTheme="minorEastAsia" w:hint="eastAsia"/>
          <w:sz w:val="22"/>
        </w:rPr>
        <w:t>は審査会場</w:t>
      </w:r>
      <w:r w:rsidRPr="00C014AC">
        <w:rPr>
          <w:rFonts w:asciiTheme="minorEastAsia" w:hAnsiTheme="minorEastAsia"/>
          <w:sz w:val="22"/>
        </w:rPr>
        <w:t>において行うものとする。</w:t>
      </w:r>
    </w:p>
    <w:p w:rsidR="00086C60" w:rsidRPr="00C014AC" w:rsidRDefault="0019030B" w:rsidP="0019030B">
      <w:pPr>
        <w:snapToGrid w:val="0"/>
        <w:spacing w:line="360" w:lineRule="auto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</w:t>
      </w:r>
      <w:r w:rsidR="00C014AC">
        <w:rPr>
          <w:rFonts w:asciiTheme="minorEastAsia" w:hAnsiTheme="minorEastAsia" w:hint="eastAsia"/>
          <w:sz w:val="22"/>
        </w:rPr>
        <w:t>）</w:t>
      </w:r>
      <w:r w:rsidR="00086C60" w:rsidRPr="00C014AC">
        <w:rPr>
          <w:rFonts w:asciiTheme="minorEastAsia" w:hAnsiTheme="minorEastAsia"/>
          <w:sz w:val="22"/>
        </w:rPr>
        <w:t>入室人数</w:t>
      </w:r>
      <w:r w:rsidR="00C014A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審査</w:t>
      </w:r>
      <w:r w:rsidR="00086C60" w:rsidRPr="00C014AC">
        <w:rPr>
          <w:rFonts w:asciiTheme="minorEastAsia" w:hAnsiTheme="minorEastAsia"/>
          <w:sz w:val="22"/>
        </w:rPr>
        <w:t>会場への入室は１者あたり３名以内（機器操作者を含む）とする。</w:t>
      </w:r>
    </w:p>
    <w:p w:rsidR="00C014AC" w:rsidRDefault="00C014AC" w:rsidP="00336B2A">
      <w:pPr>
        <w:snapToGrid w:val="0"/>
        <w:spacing w:line="360" w:lineRule="auto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（５）</w:t>
      </w:r>
      <w:r w:rsidR="00086C60" w:rsidRPr="00C014AC">
        <w:rPr>
          <w:rFonts w:asciiTheme="minorEastAsia" w:hAnsiTheme="minorEastAsia"/>
          <w:sz w:val="22"/>
        </w:rPr>
        <w:t>会場設営</w:t>
      </w:r>
      <w:r>
        <w:rPr>
          <w:rFonts w:asciiTheme="minorEastAsia" w:hAnsiTheme="minorEastAsia" w:hint="eastAsia"/>
          <w:sz w:val="22"/>
        </w:rPr>
        <w:t xml:space="preserve">　</w:t>
      </w:r>
      <w:r w:rsidR="0019030B">
        <w:rPr>
          <w:rFonts w:asciiTheme="minorEastAsia" w:hAnsiTheme="minorEastAsia" w:hint="eastAsia"/>
          <w:sz w:val="22"/>
        </w:rPr>
        <w:t>審査</w:t>
      </w:r>
      <w:r w:rsidR="00086C60" w:rsidRPr="00C014AC">
        <w:rPr>
          <w:rFonts w:asciiTheme="minorEastAsia" w:hAnsiTheme="minorEastAsia"/>
          <w:sz w:val="22"/>
        </w:rPr>
        <w:t>会場には長机、椅子、電源、延長コード、</w:t>
      </w:r>
      <w:r>
        <w:rPr>
          <w:rFonts w:asciiTheme="minorEastAsia" w:hAnsiTheme="minorEastAsia" w:hint="eastAsia"/>
          <w:sz w:val="22"/>
        </w:rPr>
        <w:t>プロジェク</w:t>
      </w:r>
      <w:r w:rsidR="0019030B">
        <w:rPr>
          <w:rFonts w:asciiTheme="minorEastAsia" w:hAnsiTheme="minorEastAsia" w:hint="eastAsia"/>
          <w:sz w:val="22"/>
        </w:rPr>
        <w:t>ターは備えているが、</w:t>
      </w:r>
    </w:p>
    <w:p w:rsidR="00086C60" w:rsidRPr="00C014AC" w:rsidRDefault="00086C60" w:rsidP="00336B2A">
      <w:pPr>
        <w:snapToGrid w:val="0"/>
        <w:spacing w:line="360" w:lineRule="auto"/>
        <w:ind w:firstLineChars="900" w:firstLine="1980"/>
        <w:jc w:val="left"/>
        <w:rPr>
          <w:rFonts w:asciiTheme="minorEastAsia" w:hAnsiTheme="minorEastAsia"/>
          <w:sz w:val="22"/>
        </w:rPr>
      </w:pPr>
      <w:r w:rsidRPr="00C014AC">
        <w:rPr>
          <w:rFonts w:asciiTheme="minorEastAsia" w:hAnsiTheme="minorEastAsia"/>
          <w:sz w:val="22"/>
        </w:rPr>
        <w:t>その他必要な物（パソコン等）があれば提案者自身で準備すること。</w:t>
      </w:r>
      <w:r w:rsidR="00C014AC">
        <w:rPr>
          <w:rFonts w:asciiTheme="minorEastAsia" w:hAnsiTheme="minorEastAsia"/>
          <w:sz w:val="22"/>
        </w:rPr>
        <w:t xml:space="preserve">　</w:t>
      </w:r>
    </w:p>
    <w:p w:rsidR="00C014AC" w:rsidRDefault="00C014AC" w:rsidP="00336B2A">
      <w:pPr>
        <w:snapToGrid w:val="0"/>
        <w:spacing w:line="360" w:lineRule="auto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sz w:val="22"/>
        </w:rPr>
        <w:t>（６）</w:t>
      </w:r>
      <w:r w:rsidR="00086C60" w:rsidRPr="00C014AC">
        <w:rPr>
          <w:rFonts w:asciiTheme="minorEastAsia" w:hAnsiTheme="minorEastAsia"/>
          <w:sz w:val="22"/>
        </w:rPr>
        <w:t>禁止事項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プレゼンテーション時の</w:t>
      </w:r>
      <w:r w:rsidR="00086C60" w:rsidRPr="00C014AC">
        <w:rPr>
          <w:rFonts w:asciiTheme="minorEastAsia" w:hAnsiTheme="minorEastAsia"/>
          <w:sz w:val="22"/>
        </w:rPr>
        <w:t>資料については、企画提案書等を活用するものとし、</w:t>
      </w:r>
    </w:p>
    <w:p w:rsidR="00086C60" w:rsidRPr="00C014AC" w:rsidRDefault="00086C60" w:rsidP="00336B2A">
      <w:pPr>
        <w:snapToGrid w:val="0"/>
        <w:spacing w:line="360" w:lineRule="auto"/>
        <w:ind w:firstLineChars="900" w:firstLine="1980"/>
        <w:jc w:val="left"/>
        <w:rPr>
          <w:rFonts w:asciiTheme="minorEastAsia" w:hAnsiTheme="minorEastAsia"/>
          <w:sz w:val="22"/>
        </w:rPr>
      </w:pPr>
      <w:r w:rsidRPr="00C014AC">
        <w:rPr>
          <w:rFonts w:asciiTheme="minorEastAsia" w:hAnsiTheme="minorEastAsia"/>
          <w:sz w:val="22"/>
        </w:rPr>
        <w:t>追加の資料配布</w:t>
      </w:r>
      <w:r w:rsidR="0019030B">
        <w:rPr>
          <w:rFonts w:asciiTheme="minorEastAsia" w:hAnsiTheme="minorEastAsia" w:hint="eastAsia"/>
          <w:sz w:val="22"/>
        </w:rPr>
        <w:t>・表示</w:t>
      </w:r>
      <w:r w:rsidRPr="00C014AC">
        <w:rPr>
          <w:rFonts w:asciiTheme="minorEastAsia" w:hAnsiTheme="minorEastAsia"/>
          <w:sz w:val="22"/>
        </w:rPr>
        <w:t>は禁ずる</w:t>
      </w:r>
      <w:r w:rsidR="0019030B">
        <w:rPr>
          <w:rFonts w:asciiTheme="minorEastAsia" w:hAnsiTheme="minorEastAsia" w:hint="eastAsia"/>
          <w:sz w:val="22"/>
        </w:rPr>
        <w:t>。</w:t>
      </w:r>
      <w:r w:rsidR="00C014AC">
        <w:rPr>
          <w:rFonts w:asciiTheme="minorEastAsia" w:hAnsiTheme="minorEastAsia"/>
          <w:sz w:val="22"/>
        </w:rPr>
        <w:t xml:space="preserve">　</w:t>
      </w:r>
    </w:p>
    <w:p w:rsidR="00CB4824" w:rsidRDefault="00CB4824" w:rsidP="00336B2A">
      <w:pPr>
        <w:snapToGrid w:val="0"/>
        <w:spacing w:line="360" w:lineRule="auto"/>
        <w:jc w:val="left"/>
        <w:rPr>
          <w:rFonts w:asciiTheme="minorEastAsia" w:hAnsiTheme="minorEastAsia"/>
          <w:sz w:val="22"/>
        </w:rPr>
      </w:pPr>
    </w:p>
    <w:p w:rsidR="00086C60" w:rsidRPr="00C014AC" w:rsidRDefault="00086C60" w:rsidP="00336B2A">
      <w:pPr>
        <w:snapToGrid w:val="0"/>
        <w:spacing w:line="360" w:lineRule="auto"/>
        <w:jc w:val="left"/>
        <w:rPr>
          <w:rFonts w:asciiTheme="minorEastAsia" w:hAnsiTheme="minorEastAsia"/>
          <w:sz w:val="22"/>
        </w:rPr>
      </w:pPr>
      <w:r w:rsidRPr="00C014AC">
        <w:rPr>
          <w:rFonts w:asciiTheme="minorEastAsia" w:hAnsiTheme="minorEastAsia"/>
          <w:sz w:val="22"/>
        </w:rPr>
        <w:t>４</w:t>
      </w:r>
      <w:r w:rsidR="00C014AC">
        <w:rPr>
          <w:rFonts w:asciiTheme="minorEastAsia" w:hAnsiTheme="minorEastAsia"/>
          <w:sz w:val="22"/>
        </w:rPr>
        <w:t xml:space="preserve">　</w:t>
      </w:r>
      <w:r w:rsidRPr="00C014AC">
        <w:rPr>
          <w:rFonts w:asciiTheme="minorEastAsia" w:hAnsiTheme="minorEastAsia"/>
          <w:sz w:val="22"/>
        </w:rPr>
        <w:t>審査</w:t>
      </w:r>
      <w:r w:rsidR="008E675B">
        <w:rPr>
          <w:rFonts w:asciiTheme="minorEastAsia" w:hAnsiTheme="minorEastAsia" w:hint="eastAsia"/>
          <w:sz w:val="22"/>
        </w:rPr>
        <w:t>に関すること</w:t>
      </w:r>
    </w:p>
    <w:p w:rsidR="00CB4824" w:rsidRPr="00CB4824" w:rsidRDefault="00CB4824" w:rsidP="00336B2A">
      <w:pPr>
        <w:snapToGrid w:val="0"/>
        <w:spacing w:line="360" w:lineRule="auto"/>
        <w:ind w:firstLine="220"/>
        <w:jc w:val="left"/>
        <w:rPr>
          <w:rFonts w:asciiTheme="minorEastAsia" w:hAnsiTheme="minorEastAsia"/>
          <w:sz w:val="22"/>
        </w:rPr>
      </w:pPr>
      <w:r w:rsidRPr="00CB4824">
        <w:rPr>
          <w:rFonts w:asciiTheme="minorEastAsia" w:hAnsiTheme="minorEastAsia" w:hint="eastAsia"/>
          <w:sz w:val="22"/>
        </w:rPr>
        <w:t>（１</w:t>
      </w:r>
      <w:r>
        <w:rPr>
          <w:rFonts w:asciiTheme="minorEastAsia" w:hAnsiTheme="minorEastAsia"/>
          <w:sz w:val="22"/>
        </w:rPr>
        <w:t>）</w:t>
      </w:r>
      <w:r w:rsidR="00086C60" w:rsidRPr="00CB4824">
        <w:rPr>
          <w:rFonts w:asciiTheme="minorEastAsia" w:hAnsiTheme="minorEastAsia"/>
          <w:sz w:val="22"/>
        </w:rPr>
        <w:t>評価基準の審査項目に関する各選定委員の評価結果に基づき、「合計点」が最も高い提案者</w:t>
      </w:r>
    </w:p>
    <w:p w:rsidR="00CB4824" w:rsidRDefault="00CB4824" w:rsidP="00336B2A">
      <w:pPr>
        <w:snapToGrid w:val="0"/>
        <w:spacing w:line="360" w:lineRule="auto"/>
        <w:ind w:firstLineChars="300" w:firstLine="630"/>
      </w:pPr>
      <w:r>
        <w:rPr>
          <w:rFonts w:hint="eastAsia"/>
        </w:rPr>
        <w:t xml:space="preserve">　</w:t>
      </w:r>
      <w:r w:rsidR="00086C60" w:rsidRPr="00CB4824">
        <w:t>を協定の相手方となる候補者として選定する。ただし、点数の合計が最も高い提案者が複数あ</w:t>
      </w:r>
    </w:p>
    <w:p w:rsidR="00CB4824" w:rsidRDefault="00086C60" w:rsidP="00336B2A">
      <w:pPr>
        <w:snapToGrid w:val="0"/>
        <w:spacing w:line="360" w:lineRule="auto"/>
        <w:ind w:firstLineChars="400" w:firstLine="840"/>
      </w:pPr>
      <w:r w:rsidRPr="00CB4824">
        <w:t>る場合は、選定委員の多数決により協定の相手方となる候補者を選定する。</w:t>
      </w:r>
    </w:p>
    <w:p w:rsidR="00CB4824" w:rsidRPr="00CB4824" w:rsidRDefault="00CB4824" w:rsidP="00336B2A">
      <w:pPr>
        <w:snapToGrid w:val="0"/>
        <w:spacing w:line="360" w:lineRule="auto"/>
        <w:ind w:firstLineChars="100" w:firstLine="220"/>
      </w:pPr>
      <w:r>
        <w:rPr>
          <w:rFonts w:asciiTheme="minorEastAsia" w:hAnsiTheme="minorEastAsia" w:hint="eastAsia"/>
          <w:sz w:val="22"/>
        </w:rPr>
        <w:t>（２）</w:t>
      </w:r>
      <w:r w:rsidR="00086C60" w:rsidRPr="00C014AC">
        <w:rPr>
          <w:rFonts w:asciiTheme="minorEastAsia" w:hAnsiTheme="minorEastAsia"/>
          <w:sz w:val="22"/>
        </w:rPr>
        <w:t>点数の「合計点」が最も高い提案者の点数が満点の６割を下回る場合には、協定の相手方</w:t>
      </w:r>
    </w:p>
    <w:p w:rsidR="00086C60" w:rsidRPr="00C014AC" w:rsidRDefault="00086C60" w:rsidP="00336B2A">
      <w:pPr>
        <w:snapToGrid w:val="0"/>
        <w:spacing w:line="360" w:lineRule="auto"/>
        <w:ind w:firstLineChars="400" w:firstLine="880"/>
        <w:jc w:val="left"/>
        <w:rPr>
          <w:rFonts w:asciiTheme="minorEastAsia" w:hAnsiTheme="minorEastAsia"/>
          <w:sz w:val="22"/>
        </w:rPr>
      </w:pPr>
      <w:r w:rsidRPr="00C014AC">
        <w:rPr>
          <w:rFonts w:asciiTheme="minorEastAsia" w:hAnsiTheme="minorEastAsia"/>
          <w:sz w:val="22"/>
        </w:rPr>
        <w:t>となる候補者の選定には至らないものとする。</w:t>
      </w:r>
    </w:p>
    <w:p w:rsidR="00086C60" w:rsidRPr="00C014AC" w:rsidRDefault="00CB4824" w:rsidP="00336B2A">
      <w:pPr>
        <w:snapToGrid w:val="0"/>
        <w:spacing w:line="360" w:lineRule="auto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="00086C60" w:rsidRPr="00C014AC">
        <w:rPr>
          <w:rFonts w:asciiTheme="minorEastAsia" w:hAnsiTheme="minorEastAsia"/>
          <w:sz w:val="22"/>
        </w:rPr>
        <w:t>審査結果に対する問い合わせ、異議申し立ては一切受け付けない。</w:t>
      </w:r>
      <w:r w:rsidR="00C014AC">
        <w:rPr>
          <w:rFonts w:asciiTheme="minorEastAsia" w:hAnsiTheme="minorEastAsia"/>
          <w:sz w:val="22"/>
        </w:rPr>
        <w:t xml:space="preserve">　</w:t>
      </w:r>
    </w:p>
    <w:p w:rsidR="00086C60" w:rsidRPr="00C014AC" w:rsidRDefault="00086C60" w:rsidP="00336B2A">
      <w:pPr>
        <w:snapToGrid w:val="0"/>
        <w:spacing w:line="360" w:lineRule="auto"/>
        <w:ind w:left="430"/>
        <w:jc w:val="left"/>
        <w:rPr>
          <w:rFonts w:asciiTheme="minorEastAsia" w:hAnsiTheme="minorEastAsia"/>
          <w:sz w:val="22"/>
        </w:rPr>
      </w:pPr>
    </w:p>
    <w:p w:rsidR="00CB4824" w:rsidRDefault="00086C60" w:rsidP="00336B2A">
      <w:pPr>
        <w:snapToGrid w:val="0"/>
        <w:spacing w:line="360" w:lineRule="auto"/>
        <w:jc w:val="left"/>
        <w:rPr>
          <w:rFonts w:asciiTheme="minorEastAsia" w:hAnsiTheme="minorEastAsia"/>
          <w:sz w:val="22"/>
        </w:rPr>
      </w:pPr>
      <w:r w:rsidRPr="00C014AC">
        <w:rPr>
          <w:rFonts w:asciiTheme="minorEastAsia" w:hAnsiTheme="minorEastAsia"/>
          <w:sz w:val="22"/>
        </w:rPr>
        <w:lastRenderedPageBreak/>
        <w:t>５</w:t>
      </w:r>
      <w:r w:rsidR="00C014AC">
        <w:rPr>
          <w:rFonts w:asciiTheme="minorEastAsia" w:hAnsiTheme="minorEastAsia"/>
          <w:sz w:val="22"/>
        </w:rPr>
        <w:t xml:space="preserve">　</w:t>
      </w:r>
      <w:r w:rsidRPr="00C014AC">
        <w:rPr>
          <w:rFonts w:asciiTheme="minorEastAsia" w:hAnsiTheme="minorEastAsia"/>
          <w:sz w:val="22"/>
        </w:rPr>
        <w:t>評価基準及び配点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229"/>
        <w:gridCol w:w="1047"/>
      </w:tblGrid>
      <w:tr w:rsidR="00CB4824" w:rsidTr="008E675B">
        <w:trPr>
          <w:trHeight w:val="555"/>
        </w:trPr>
        <w:tc>
          <w:tcPr>
            <w:tcW w:w="1668" w:type="dxa"/>
            <w:vAlign w:val="center"/>
          </w:tcPr>
          <w:p w:rsidR="00CB4824" w:rsidRDefault="00CB4824" w:rsidP="008E675B">
            <w:pPr>
              <w:jc w:val="center"/>
            </w:pPr>
            <w:r w:rsidRPr="00C014AC">
              <w:t>評価項目</w:t>
            </w:r>
          </w:p>
        </w:tc>
        <w:tc>
          <w:tcPr>
            <w:tcW w:w="7229" w:type="dxa"/>
            <w:vAlign w:val="center"/>
          </w:tcPr>
          <w:p w:rsidR="00CB4824" w:rsidRDefault="00CB4824" w:rsidP="008E675B">
            <w:pPr>
              <w:jc w:val="center"/>
            </w:pPr>
            <w:r w:rsidRPr="00C014AC">
              <w:t>評価基準</w:t>
            </w:r>
          </w:p>
        </w:tc>
        <w:tc>
          <w:tcPr>
            <w:tcW w:w="1047" w:type="dxa"/>
            <w:vAlign w:val="center"/>
          </w:tcPr>
          <w:p w:rsidR="00CB4824" w:rsidRDefault="00CB4824" w:rsidP="008E675B">
            <w:pPr>
              <w:jc w:val="center"/>
            </w:pPr>
            <w:r w:rsidRPr="00C014AC">
              <w:t>配点</w:t>
            </w:r>
          </w:p>
        </w:tc>
      </w:tr>
      <w:tr w:rsidR="00CB4824" w:rsidTr="008E675B">
        <w:trPr>
          <w:trHeight w:val="1401"/>
        </w:trPr>
        <w:tc>
          <w:tcPr>
            <w:tcW w:w="1668" w:type="dxa"/>
            <w:vAlign w:val="center"/>
          </w:tcPr>
          <w:p w:rsidR="00CB4824" w:rsidRDefault="00CB4824" w:rsidP="008E675B">
            <w:r w:rsidRPr="00C014AC">
              <w:t>業務実績及び</w:t>
            </w:r>
            <w:r>
              <w:t xml:space="preserve">　</w:t>
            </w:r>
            <w:r w:rsidRPr="00C014AC">
              <w:t>実施体制</w:t>
            </w:r>
          </w:p>
        </w:tc>
        <w:tc>
          <w:tcPr>
            <w:tcW w:w="7229" w:type="dxa"/>
            <w:vAlign w:val="center"/>
          </w:tcPr>
          <w:p w:rsidR="0078537D" w:rsidRDefault="00CB4824" w:rsidP="008E675B">
            <w:r w:rsidRPr="00C014AC">
              <w:t>・本業務を適切に行う業務実績を十分有しているか</w:t>
            </w:r>
          </w:p>
          <w:p w:rsidR="00CB4824" w:rsidRDefault="00CB4824" w:rsidP="008E675B">
            <w:r w:rsidRPr="00C014AC">
              <w:t>・提案内容を実施できる体制が整っているか</w:t>
            </w:r>
          </w:p>
        </w:tc>
        <w:tc>
          <w:tcPr>
            <w:tcW w:w="1047" w:type="dxa"/>
            <w:vAlign w:val="center"/>
          </w:tcPr>
          <w:p w:rsidR="00CB4824" w:rsidRDefault="00CB4824" w:rsidP="008E675B">
            <w:pPr>
              <w:jc w:val="center"/>
            </w:pPr>
            <w:r w:rsidRPr="00C014AC">
              <w:t>20</w:t>
            </w:r>
          </w:p>
        </w:tc>
      </w:tr>
      <w:tr w:rsidR="00CB4824" w:rsidTr="008E675B">
        <w:trPr>
          <w:trHeight w:val="1972"/>
        </w:trPr>
        <w:tc>
          <w:tcPr>
            <w:tcW w:w="1668" w:type="dxa"/>
            <w:vAlign w:val="center"/>
          </w:tcPr>
          <w:p w:rsidR="00CB4824" w:rsidRDefault="0078537D" w:rsidP="008E675B">
            <w:r w:rsidRPr="00C014AC">
              <w:t>脱炭素の取組に伴う地域課題の解決や住民の暮らしの</w:t>
            </w:r>
            <w:r>
              <w:t xml:space="preserve">　</w:t>
            </w:r>
            <w:r w:rsidRPr="00C014AC">
              <w:t>質の向上</w:t>
            </w:r>
          </w:p>
        </w:tc>
        <w:tc>
          <w:tcPr>
            <w:tcW w:w="7229" w:type="dxa"/>
            <w:vAlign w:val="center"/>
          </w:tcPr>
          <w:p w:rsidR="0078537D" w:rsidRDefault="0078537D" w:rsidP="008E675B">
            <w:r w:rsidRPr="00C014AC">
              <w:t>・脱炭素先行地域の取組を通じて解決していくことを目指す課題と</w:t>
            </w:r>
          </w:p>
          <w:p w:rsidR="00CB4824" w:rsidRDefault="0078537D" w:rsidP="008E675B">
            <w:r w:rsidRPr="00C014AC">
              <w:t>その解決に向けた取り組みが適切に説明されているか</w:t>
            </w:r>
          </w:p>
        </w:tc>
        <w:tc>
          <w:tcPr>
            <w:tcW w:w="1047" w:type="dxa"/>
            <w:vAlign w:val="center"/>
          </w:tcPr>
          <w:p w:rsidR="00CB4824" w:rsidRDefault="0078537D" w:rsidP="008E675B">
            <w:pPr>
              <w:jc w:val="center"/>
            </w:pPr>
            <w:r w:rsidRPr="00C014AC">
              <w:t>20</w:t>
            </w:r>
          </w:p>
        </w:tc>
      </w:tr>
      <w:tr w:rsidR="00CB4824" w:rsidTr="008E675B">
        <w:trPr>
          <w:trHeight w:val="1418"/>
        </w:trPr>
        <w:tc>
          <w:tcPr>
            <w:tcW w:w="1668" w:type="dxa"/>
            <w:vAlign w:val="center"/>
          </w:tcPr>
          <w:p w:rsidR="003226E5" w:rsidRDefault="00336B2A" w:rsidP="008E675B">
            <w:r>
              <w:rPr>
                <w:rFonts w:hint="eastAsia"/>
              </w:rPr>
              <w:t>地域特性の</w:t>
            </w:r>
          </w:p>
          <w:p w:rsidR="00CB4824" w:rsidRDefault="00336B2A" w:rsidP="008E675B">
            <w:r>
              <w:rPr>
                <w:rFonts w:hint="eastAsia"/>
              </w:rPr>
              <w:t>理解度</w:t>
            </w:r>
          </w:p>
        </w:tc>
        <w:tc>
          <w:tcPr>
            <w:tcW w:w="7229" w:type="dxa"/>
            <w:vAlign w:val="center"/>
          </w:tcPr>
          <w:p w:rsidR="00336B2A" w:rsidRDefault="0078537D" w:rsidP="008E675B">
            <w:r>
              <w:rPr>
                <w:rFonts w:hint="eastAsia"/>
              </w:rPr>
              <w:t>・新温泉町地球温暖化対策地方公共団体</w:t>
            </w:r>
            <w:r w:rsidR="00336B2A">
              <w:rPr>
                <w:rFonts w:hint="eastAsia"/>
              </w:rPr>
              <w:t>実行計画の推進に寄与できる</w:t>
            </w:r>
          </w:p>
          <w:p w:rsidR="00336B2A" w:rsidRDefault="00336B2A" w:rsidP="008E675B">
            <w:r>
              <w:rPr>
                <w:rFonts w:hint="eastAsia"/>
              </w:rPr>
              <w:t>内容となっているか</w:t>
            </w:r>
          </w:p>
          <w:p w:rsidR="00336B2A" w:rsidRPr="00336B2A" w:rsidRDefault="00336B2A" w:rsidP="008E675B">
            <w:r>
              <w:rPr>
                <w:rFonts w:hint="eastAsia"/>
              </w:rPr>
              <w:t>・本地域の特性を的確にとらえた</w:t>
            </w:r>
            <w:r w:rsidRPr="00C014AC">
              <w:t>具体的な内容となっているか</w:t>
            </w:r>
          </w:p>
        </w:tc>
        <w:tc>
          <w:tcPr>
            <w:tcW w:w="1047" w:type="dxa"/>
            <w:vAlign w:val="center"/>
          </w:tcPr>
          <w:p w:rsidR="00CB4824" w:rsidRDefault="003226E5" w:rsidP="008E675B">
            <w:pPr>
              <w:jc w:val="center"/>
            </w:pPr>
            <w:r>
              <w:rPr>
                <w:rFonts w:hint="eastAsia"/>
              </w:rPr>
              <w:t>2</w:t>
            </w:r>
            <w:r w:rsidR="00336B2A">
              <w:rPr>
                <w:rFonts w:hint="eastAsia"/>
              </w:rPr>
              <w:t>0</w:t>
            </w:r>
          </w:p>
        </w:tc>
      </w:tr>
      <w:tr w:rsidR="00CB4824" w:rsidTr="008E675B">
        <w:trPr>
          <w:trHeight w:val="1134"/>
        </w:trPr>
        <w:tc>
          <w:tcPr>
            <w:tcW w:w="1668" w:type="dxa"/>
            <w:vAlign w:val="center"/>
          </w:tcPr>
          <w:p w:rsidR="00CB4824" w:rsidRDefault="0078537D" w:rsidP="008E675B">
            <w:r w:rsidRPr="00C014AC">
              <w:t>計画の実現性</w:t>
            </w:r>
          </w:p>
        </w:tc>
        <w:tc>
          <w:tcPr>
            <w:tcW w:w="7229" w:type="dxa"/>
            <w:vAlign w:val="center"/>
          </w:tcPr>
          <w:p w:rsidR="0078537D" w:rsidRDefault="0078537D" w:rsidP="008E675B">
            <w:r>
              <w:rPr>
                <w:rFonts w:hint="eastAsia"/>
              </w:rPr>
              <w:t>・住民及び関係者の理解を得られる内容となっているか</w:t>
            </w:r>
          </w:p>
          <w:p w:rsidR="0078537D" w:rsidRDefault="0078537D" w:rsidP="008E675B">
            <w:r>
              <w:rPr>
                <w:rFonts w:hint="eastAsia"/>
              </w:rPr>
              <w:t>・事業の継続性が考慮されているか</w:t>
            </w:r>
          </w:p>
        </w:tc>
        <w:tc>
          <w:tcPr>
            <w:tcW w:w="1047" w:type="dxa"/>
            <w:vAlign w:val="center"/>
          </w:tcPr>
          <w:p w:rsidR="00CB4824" w:rsidRDefault="003226E5" w:rsidP="008E675B">
            <w:pPr>
              <w:jc w:val="center"/>
            </w:pPr>
            <w:r>
              <w:rPr>
                <w:rFonts w:hint="eastAsia"/>
              </w:rPr>
              <w:t>2</w:t>
            </w:r>
            <w:r w:rsidR="00336B2A">
              <w:rPr>
                <w:rFonts w:hint="eastAsia"/>
              </w:rPr>
              <w:t>0</w:t>
            </w:r>
          </w:p>
        </w:tc>
      </w:tr>
      <w:tr w:rsidR="00336B2A" w:rsidTr="008E675B">
        <w:trPr>
          <w:trHeight w:val="1134"/>
        </w:trPr>
        <w:tc>
          <w:tcPr>
            <w:tcW w:w="1668" w:type="dxa"/>
            <w:vAlign w:val="center"/>
          </w:tcPr>
          <w:p w:rsidR="00336B2A" w:rsidRPr="00C014AC" w:rsidRDefault="003226E5" w:rsidP="008E675B">
            <w:r>
              <w:rPr>
                <w:rFonts w:hint="eastAsia"/>
              </w:rPr>
              <w:t>選定委員評価</w:t>
            </w:r>
          </w:p>
        </w:tc>
        <w:tc>
          <w:tcPr>
            <w:tcW w:w="7229" w:type="dxa"/>
            <w:vAlign w:val="center"/>
          </w:tcPr>
          <w:p w:rsidR="0019030B" w:rsidRDefault="003226E5" w:rsidP="008E675B">
            <w:r>
              <w:rPr>
                <w:rFonts w:hint="eastAsia"/>
              </w:rPr>
              <w:t>・選定委員の見識から、将来性、独自性、</w:t>
            </w:r>
            <w:r w:rsidR="0019030B">
              <w:rPr>
                <w:rFonts w:hint="eastAsia"/>
              </w:rPr>
              <w:t>経済性、</w:t>
            </w:r>
            <w:r>
              <w:rPr>
                <w:rFonts w:hint="eastAsia"/>
              </w:rPr>
              <w:t>優位性を判断して</w:t>
            </w:r>
          </w:p>
          <w:p w:rsidR="00336B2A" w:rsidRDefault="003226E5" w:rsidP="008E675B">
            <w:r>
              <w:rPr>
                <w:rFonts w:hint="eastAsia"/>
              </w:rPr>
              <w:t>評価する。</w:t>
            </w:r>
          </w:p>
        </w:tc>
        <w:tc>
          <w:tcPr>
            <w:tcW w:w="1047" w:type="dxa"/>
            <w:vAlign w:val="center"/>
          </w:tcPr>
          <w:p w:rsidR="00336B2A" w:rsidRDefault="003226E5" w:rsidP="008E675B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78537D" w:rsidTr="008E675B">
        <w:trPr>
          <w:trHeight w:val="567"/>
        </w:trPr>
        <w:tc>
          <w:tcPr>
            <w:tcW w:w="8897" w:type="dxa"/>
            <w:gridSpan w:val="2"/>
            <w:vAlign w:val="center"/>
          </w:tcPr>
          <w:p w:rsidR="0078537D" w:rsidRDefault="0078537D" w:rsidP="008E675B">
            <w:r>
              <w:rPr>
                <w:rFonts w:hint="eastAsia"/>
              </w:rPr>
              <w:t>合計</w:t>
            </w:r>
          </w:p>
        </w:tc>
        <w:tc>
          <w:tcPr>
            <w:tcW w:w="1047" w:type="dxa"/>
            <w:vAlign w:val="center"/>
          </w:tcPr>
          <w:p w:rsidR="0078537D" w:rsidRDefault="0078537D" w:rsidP="008E675B">
            <w:pPr>
              <w:jc w:val="center"/>
            </w:pPr>
            <w:r>
              <w:rPr>
                <w:rFonts w:hint="eastAsia"/>
              </w:rPr>
              <w:t>100</w:t>
            </w:r>
          </w:p>
        </w:tc>
      </w:tr>
    </w:tbl>
    <w:p w:rsidR="00CB4824" w:rsidRDefault="00CB4824" w:rsidP="00336B2A">
      <w:pPr>
        <w:snapToGrid w:val="0"/>
        <w:spacing w:line="360" w:lineRule="auto"/>
        <w:jc w:val="left"/>
        <w:rPr>
          <w:rFonts w:asciiTheme="minorEastAsia" w:hAnsiTheme="minorEastAsia"/>
          <w:sz w:val="22"/>
        </w:rPr>
      </w:pPr>
    </w:p>
    <w:p w:rsidR="00CB4824" w:rsidRDefault="00CB4824" w:rsidP="00336B2A">
      <w:pPr>
        <w:snapToGrid w:val="0"/>
        <w:spacing w:line="360" w:lineRule="auto"/>
        <w:jc w:val="left"/>
        <w:rPr>
          <w:rFonts w:asciiTheme="minorEastAsia" w:hAnsiTheme="minorEastAsia"/>
          <w:sz w:val="22"/>
        </w:rPr>
      </w:pPr>
    </w:p>
    <w:p w:rsidR="00CB4824" w:rsidRDefault="00CB4824" w:rsidP="00336B2A">
      <w:pPr>
        <w:snapToGrid w:val="0"/>
        <w:spacing w:line="360" w:lineRule="auto"/>
        <w:jc w:val="left"/>
        <w:rPr>
          <w:rFonts w:asciiTheme="minorEastAsia" w:hAnsiTheme="minorEastAsia"/>
          <w:sz w:val="22"/>
        </w:rPr>
      </w:pPr>
    </w:p>
    <w:p w:rsidR="00CB4824" w:rsidRDefault="00CB4824" w:rsidP="00336B2A">
      <w:pPr>
        <w:snapToGrid w:val="0"/>
        <w:spacing w:line="360" w:lineRule="auto"/>
        <w:jc w:val="left"/>
        <w:rPr>
          <w:rFonts w:asciiTheme="minorEastAsia" w:hAnsiTheme="minorEastAsia"/>
          <w:sz w:val="22"/>
        </w:rPr>
      </w:pPr>
    </w:p>
    <w:p w:rsidR="00CB4824" w:rsidRDefault="00CB4824" w:rsidP="00336B2A">
      <w:pPr>
        <w:snapToGrid w:val="0"/>
        <w:spacing w:line="360" w:lineRule="auto"/>
        <w:jc w:val="left"/>
        <w:rPr>
          <w:rFonts w:asciiTheme="minorEastAsia" w:hAnsiTheme="minorEastAsia"/>
          <w:sz w:val="22"/>
        </w:rPr>
      </w:pPr>
    </w:p>
    <w:p w:rsidR="00086C60" w:rsidRPr="00C014AC" w:rsidRDefault="00C014AC" w:rsidP="00336B2A">
      <w:pPr>
        <w:snapToGrid w:val="0"/>
        <w:spacing w:line="36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</w:t>
      </w:r>
    </w:p>
    <w:sectPr w:rsidR="00086C60" w:rsidRPr="00C014AC" w:rsidSect="00086C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0FE"/>
    <w:multiLevelType w:val="hybridMultilevel"/>
    <w:tmpl w:val="0DCC8C4E"/>
    <w:lvl w:ilvl="0" w:tplc="5F26C1E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19BE3AC9"/>
    <w:multiLevelType w:val="hybridMultilevel"/>
    <w:tmpl w:val="475CE4A0"/>
    <w:lvl w:ilvl="0" w:tplc="1DBC1710">
      <w:start w:val="1"/>
      <w:numFmt w:val="decimalEnclosedParen"/>
      <w:lvlText w:val="%1"/>
      <w:lvlJc w:val="left"/>
      <w:pPr>
        <w:ind w:left="79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>
    <w:nsid w:val="3BC64E65"/>
    <w:multiLevelType w:val="hybridMultilevel"/>
    <w:tmpl w:val="F69AF978"/>
    <w:lvl w:ilvl="0" w:tplc="1854B720">
      <w:start w:val="1"/>
      <w:numFmt w:val="decimalEnclosedParen"/>
      <w:lvlText w:val="%1"/>
      <w:lvlJc w:val="left"/>
      <w:pPr>
        <w:ind w:left="68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60"/>
    <w:rsid w:val="00086C60"/>
    <w:rsid w:val="0019030B"/>
    <w:rsid w:val="00233701"/>
    <w:rsid w:val="003226E5"/>
    <w:rsid w:val="00336B2A"/>
    <w:rsid w:val="0078537D"/>
    <w:rsid w:val="008E675B"/>
    <w:rsid w:val="00C014AC"/>
    <w:rsid w:val="00C523FD"/>
    <w:rsid w:val="00CB4824"/>
    <w:rsid w:val="00D1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60"/>
    <w:pPr>
      <w:ind w:leftChars="400" w:left="840"/>
    </w:pPr>
  </w:style>
  <w:style w:type="table" w:styleId="a4">
    <w:name w:val="Table Grid"/>
    <w:basedOn w:val="a1"/>
    <w:uiPriority w:val="59"/>
    <w:rsid w:val="00CB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33701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60"/>
    <w:pPr>
      <w:ind w:leftChars="400" w:left="840"/>
    </w:pPr>
  </w:style>
  <w:style w:type="table" w:styleId="a4">
    <w:name w:val="Table Grid"/>
    <w:basedOn w:val="a1"/>
    <w:uiPriority w:val="59"/>
    <w:rsid w:val="00CB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3370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0C27-EE00-44E4-995E-BE263763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中井達也</dc:creator>
  <cp:lastModifiedBy>中井達也</cp:lastModifiedBy>
  <cp:revision>6</cp:revision>
  <cp:lastPrinted>2023-05-10T01:22:00Z</cp:lastPrinted>
  <dcterms:created xsi:type="dcterms:W3CDTF">2023-05-10T00:03:00Z</dcterms:created>
  <dcterms:modified xsi:type="dcterms:W3CDTF">2023-05-16T08:17:00Z</dcterms:modified>
</cp:coreProperties>
</file>